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9D0204">
        <w:rPr>
          <w:b w:val="0"/>
          <w:sz w:val="22"/>
          <w:szCs w:val="22"/>
          <w:lang w:val="de-DE"/>
        </w:rPr>
        <w:t>Juli</w:t>
      </w:r>
      <w:r w:rsidR="00FD5353">
        <w:rPr>
          <w:b w:val="0"/>
          <w:sz w:val="22"/>
          <w:szCs w:val="22"/>
          <w:lang w:val="de-DE"/>
        </w:rPr>
        <w:t xml:space="preserve">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9A1A57" w:rsidP="00C35191">
      <w:pPr>
        <w:rPr>
          <w:rFonts w:cs="Arial"/>
          <w:sz w:val="22"/>
          <w:szCs w:val="22"/>
          <w:highlight w:val="yellow"/>
        </w:rPr>
      </w:pPr>
      <w:r>
        <w:rPr>
          <w:rFonts w:cs="Arial"/>
          <w:sz w:val="22"/>
          <w:szCs w:val="22"/>
        </w:rPr>
        <w:t>Neue Optik, bewährte Funktion</w:t>
      </w:r>
    </w:p>
    <w:p w:rsidR="00C35191" w:rsidRPr="00C35191" w:rsidRDefault="009A1A57" w:rsidP="00C35191">
      <w:pPr>
        <w:keepNext/>
        <w:spacing w:before="240" w:after="60"/>
        <w:outlineLvl w:val="0"/>
        <w:rPr>
          <w:rFonts w:eastAsia="Times"/>
          <w:b/>
          <w:kern w:val="32"/>
          <w:sz w:val="32"/>
          <w:szCs w:val="32"/>
          <w:lang w:eastAsia="x-none"/>
        </w:rPr>
      </w:pPr>
      <w:r>
        <w:rPr>
          <w:rFonts w:eastAsia="Times"/>
          <w:b/>
          <w:kern w:val="32"/>
          <w:sz w:val="32"/>
          <w:szCs w:val="32"/>
          <w:lang w:eastAsia="x-none"/>
        </w:rPr>
        <w:t>KIPP Edelstahlprodukte: Jetzt im Matt-Look</w:t>
      </w:r>
    </w:p>
    <w:p w:rsidR="00874D03" w:rsidRPr="00874D03" w:rsidRDefault="00874D03" w:rsidP="00874D03">
      <w:pPr>
        <w:rPr>
          <w:lang w:eastAsia="x-none"/>
        </w:rPr>
      </w:pPr>
    </w:p>
    <w:p w:rsidR="009A1A57" w:rsidRPr="009A1A57" w:rsidRDefault="009A1A57" w:rsidP="009A1A57">
      <w:pPr>
        <w:spacing w:line="360" w:lineRule="auto"/>
        <w:rPr>
          <w:b/>
          <w:bCs/>
          <w:sz w:val="22"/>
          <w:szCs w:val="22"/>
          <w:lang w:eastAsia="x-none"/>
        </w:rPr>
      </w:pPr>
      <w:r w:rsidRPr="009A1A57">
        <w:rPr>
          <w:b/>
          <w:bCs/>
          <w:sz w:val="22"/>
          <w:szCs w:val="22"/>
          <w:lang w:eastAsia="x-none"/>
        </w:rPr>
        <w:t xml:space="preserve">Klemmhebel, Exzenterhebel, Bügelgriffe: Viele der bewährten KIPP Bedienteile sind ab sofort in einer optisch ansprechenden Edelstahlausführung erhältlich. Die sandgestrahlten Produkte mit mattierter Oberfläche stellen eine praktische und gleichzeitig attraktive Produkterweiterung dar – sie sind rostfrei, resistent und dezent. </w:t>
      </w:r>
    </w:p>
    <w:p w:rsidR="00CC5D7A" w:rsidRDefault="00CC5D7A" w:rsidP="006F7A49">
      <w:pPr>
        <w:spacing w:line="360" w:lineRule="auto"/>
        <w:rPr>
          <w:rFonts w:cs="Arial"/>
          <w:sz w:val="22"/>
          <w:szCs w:val="22"/>
        </w:rPr>
      </w:pPr>
    </w:p>
    <w:p w:rsidR="00F20DD1" w:rsidRDefault="00357E6C" w:rsidP="00357E6C">
      <w:pPr>
        <w:spacing w:line="360" w:lineRule="auto"/>
        <w:ind w:right="-40"/>
        <w:rPr>
          <w:sz w:val="22"/>
          <w:szCs w:val="22"/>
        </w:rPr>
      </w:pPr>
      <w:r w:rsidRPr="00D8580E">
        <w:rPr>
          <w:sz w:val="22"/>
          <w:szCs w:val="22"/>
        </w:rPr>
        <w:t xml:space="preserve">Aus Hygienegründen ist die Nutzung von Edelstahlprodukten in der Lebensmittelindustrie oder der Chemiebranche zwingend erforderlich. </w:t>
      </w:r>
      <w:r w:rsidR="002A041D" w:rsidRPr="002A041D">
        <w:rPr>
          <w:bCs/>
          <w:sz w:val="22"/>
          <w:szCs w:val="22"/>
        </w:rPr>
        <w:t>Durch ihre hohe Langlebigkeit und der Möglichkeit zur hygienischen Reinigung werden sie unter anderem im Anlagen- und Mas</w:t>
      </w:r>
      <w:r w:rsidR="005D170A">
        <w:rPr>
          <w:bCs/>
          <w:sz w:val="22"/>
          <w:szCs w:val="22"/>
        </w:rPr>
        <w:t xml:space="preserve">chinenbau für sensible Bereiche </w:t>
      </w:r>
      <w:r w:rsidR="002A041D" w:rsidRPr="002A041D">
        <w:rPr>
          <w:bCs/>
          <w:sz w:val="22"/>
          <w:szCs w:val="22"/>
        </w:rPr>
        <w:t>oder bei Anwendungen im Außenbereich eingesetzt.</w:t>
      </w:r>
      <w:r w:rsidR="004D4A97">
        <w:rPr>
          <w:b/>
          <w:bCs/>
          <w:sz w:val="22"/>
          <w:szCs w:val="22"/>
        </w:rPr>
        <w:t xml:space="preserve"> </w:t>
      </w:r>
      <w:r w:rsidR="00771956">
        <w:rPr>
          <w:b/>
          <w:bCs/>
          <w:sz w:val="22"/>
          <w:szCs w:val="22"/>
        </w:rPr>
        <w:br/>
      </w:r>
      <w:r w:rsidR="00C2391F">
        <w:rPr>
          <w:sz w:val="22"/>
          <w:szCs w:val="22"/>
        </w:rPr>
        <w:t>Vermehrt werden Edelstahlprodukte zudem</w:t>
      </w:r>
      <w:r w:rsidR="001329B3" w:rsidRPr="001329B3">
        <w:rPr>
          <w:sz w:val="22"/>
          <w:szCs w:val="22"/>
        </w:rPr>
        <w:t xml:space="preserve"> im Fahrzeugbau und bei Lager- und Betriebseinrichtungen genu</w:t>
      </w:r>
      <w:r w:rsidR="00922B88">
        <w:rPr>
          <w:sz w:val="22"/>
          <w:szCs w:val="22"/>
        </w:rPr>
        <w:t>tzt. Hierbei kommt vor allem der</w:t>
      </w:r>
      <w:r w:rsidR="001329B3" w:rsidRPr="001329B3">
        <w:rPr>
          <w:sz w:val="22"/>
          <w:szCs w:val="22"/>
        </w:rPr>
        <w:t xml:space="preserve"> Materialvorteil zur Geltung: Durch die matte Oberfläche bleiben die neuen Bedienteile im Gegensatz zur polierten Ausführung optisch dezent im Hintergrund. </w:t>
      </w:r>
      <w:r w:rsidR="00F20DD1" w:rsidRPr="002A041D">
        <w:rPr>
          <w:sz w:val="22"/>
          <w:szCs w:val="22"/>
        </w:rPr>
        <w:t>Außerdem reflektiert das Material nicht – was beim Einsatz in Anlagen, die mit optischen Sensoren arbeiten, ein Vorteil ist.</w:t>
      </w:r>
      <w:r w:rsidR="00F20DD1">
        <w:rPr>
          <w:sz w:val="22"/>
          <w:szCs w:val="22"/>
        </w:rPr>
        <w:t xml:space="preserve"> </w:t>
      </w:r>
    </w:p>
    <w:p w:rsidR="00771956" w:rsidRPr="001329B3" w:rsidRDefault="00771956" w:rsidP="00357E6C">
      <w:pPr>
        <w:spacing w:line="360" w:lineRule="auto"/>
        <w:ind w:right="-40"/>
        <w:rPr>
          <w:sz w:val="22"/>
          <w:szCs w:val="22"/>
        </w:rPr>
      </w:pPr>
    </w:p>
    <w:p w:rsidR="009A1A57" w:rsidRPr="00591C67" w:rsidRDefault="009A1A57" w:rsidP="009A1A57">
      <w:pPr>
        <w:tabs>
          <w:tab w:val="left" w:pos="6342"/>
        </w:tabs>
        <w:spacing w:after="120" w:line="360" w:lineRule="auto"/>
        <w:ind w:right="-37"/>
        <w:rPr>
          <w:rFonts w:cs="Arial"/>
          <w:color w:val="000000"/>
          <w:sz w:val="22"/>
          <w:szCs w:val="22"/>
        </w:rPr>
      </w:pPr>
      <w:r>
        <w:rPr>
          <w:rFonts w:cs="Arial"/>
          <w:color w:val="000000"/>
          <w:sz w:val="22"/>
          <w:szCs w:val="22"/>
        </w:rPr>
        <w:t xml:space="preserve">Das HEINRICH KIPP WERK bietet ab sofort auch alle praktischen Stern- und Kreuzgriffe in Edelstahl und mit Außengewinde an. Die Gewindebolzen werden mit dem Grundkörper mechanisch über einen Querstift verbunden. Somit lassen sich erhöhte Drehmomente problemlos realisieren. Die neuen KIPP Edelstahlprodukte sind ab sofort </w:t>
      </w:r>
      <w:r w:rsidRPr="00C9653C">
        <w:rPr>
          <w:rFonts w:cs="Arial"/>
          <w:color w:val="000000"/>
          <w:sz w:val="22"/>
          <w:szCs w:val="22"/>
        </w:rPr>
        <w:t xml:space="preserve">ab Lager </w:t>
      </w:r>
      <w:r>
        <w:rPr>
          <w:rFonts w:cs="Arial"/>
          <w:color w:val="000000"/>
          <w:sz w:val="22"/>
          <w:szCs w:val="22"/>
        </w:rPr>
        <w:t xml:space="preserve">erhältlich. </w:t>
      </w:r>
    </w:p>
    <w:p w:rsidR="00D91134" w:rsidRPr="0030295B" w:rsidRDefault="00D91134" w:rsidP="00D91134">
      <w:pPr>
        <w:pStyle w:val="Pressetext"/>
      </w:pPr>
    </w:p>
    <w:p w:rsidR="00D91134" w:rsidRPr="00EC7F30" w:rsidRDefault="00D91134" w:rsidP="00D91134">
      <w:pPr>
        <w:rPr>
          <w:rFonts w:cs="Arial"/>
          <w:sz w:val="20"/>
          <w:u w:val="single"/>
        </w:rPr>
      </w:pPr>
      <w:r w:rsidRPr="00EC7F30">
        <w:rPr>
          <w:rFonts w:cs="Arial"/>
          <w:sz w:val="20"/>
          <w:u w:val="single"/>
        </w:rPr>
        <w:t>Zeichen mit Leerzeichen:</w:t>
      </w:r>
    </w:p>
    <w:p w:rsidR="00D91134" w:rsidRPr="0063409C" w:rsidRDefault="00D91134" w:rsidP="00D91134">
      <w:pPr>
        <w:tabs>
          <w:tab w:val="right" w:pos="2410"/>
        </w:tabs>
        <w:rPr>
          <w:rFonts w:cs="Arial"/>
          <w:sz w:val="20"/>
        </w:rPr>
      </w:pPr>
      <w:r w:rsidRPr="0063409C">
        <w:rPr>
          <w:rFonts w:cs="Arial"/>
          <w:sz w:val="20"/>
        </w:rPr>
        <w:t>Headline:</w:t>
      </w:r>
      <w:r w:rsidRPr="0063409C">
        <w:rPr>
          <w:rFonts w:cs="Arial"/>
          <w:sz w:val="20"/>
        </w:rPr>
        <w:tab/>
      </w:r>
      <w:r w:rsidR="0063409C">
        <w:rPr>
          <w:rFonts w:cs="Arial"/>
          <w:sz w:val="20"/>
        </w:rPr>
        <w:t>42</w:t>
      </w:r>
      <w:r w:rsidRPr="0063409C">
        <w:rPr>
          <w:rFonts w:cs="Arial"/>
          <w:sz w:val="20"/>
        </w:rPr>
        <w:t xml:space="preserve"> Zeichen</w:t>
      </w:r>
    </w:p>
    <w:p w:rsidR="00D91134" w:rsidRPr="0063409C" w:rsidRDefault="0008715A" w:rsidP="00D91134">
      <w:pPr>
        <w:tabs>
          <w:tab w:val="right" w:pos="2410"/>
        </w:tabs>
        <w:rPr>
          <w:rFonts w:cs="Arial"/>
          <w:sz w:val="20"/>
        </w:rPr>
      </w:pPr>
      <w:proofErr w:type="spellStart"/>
      <w:r w:rsidRPr="0063409C">
        <w:rPr>
          <w:rFonts w:cs="Arial"/>
          <w:sz w:val="20"/>
        </w:rPr>
        <w:t>Pre-</w:t>
      </w:r>
      <w:r w:rsidR="00D91134" w:rsidRPr="0063409C">
        <w:rPr>
          <w:rFonts w:cs="Arial"/>
          <w:sz w:val="20"/>
        </w:rPr>
        <w:t>head</w:t>
      </w:r>
      <w:proofErr w:type="spellEnd"/>
      <w:r w:rsidR="00D91134" w:rsidRPr="0063409C">
        <w:rPr>
          <w:rFonts w:cs="Arial"/>
          <w:sz w:val="20"/>
        </w:rPr>
        <w:t>:</w:t>
      </w:r>
      <w:r w:rsidR="00D91134" w:rsidRPr="0063409C">
        <w:rPr>
          <w:rFonts w:cs="Arial"/>
          <w:sz w:val="20"/>
        </w:rPr>
        <w:tab/>
      </w:r>
      <w:r w:rsidR="000310DE" w:rsidRPr="0063409C">
        <w:rPr>
          <w:rFonts w:cs="Arial"/>
          <w:sz w:val="20"/>
        </w:rPr>
        <w:t>29</w:t>
      </w:r>
      <w:r w:rsidR="00D91134" w:rsidRPr="0063409C">
        <w:rPr>
          <w:rFonts w:cs="Arial"/>
          <w:sz w:val="20"/>
        </w:rPr>
        <w:t xml:space="preserve"> Zeichen</w:t>
      </w:r>
    </w:p>
    <w:p w:rsidR="00D91134" w:rsidRPr="0063409C" w:rsidRDefault="00D91134" w:rsidP="00D91134">
      <w:pPr>
        <w:tabs>
          <w:tab w:val="right" w:pos="2410"/>
        </w:tabs>
        <w:rPr>
          <w:rFonts w:cs="Arial"/>
          <w:sz w:val="20"/>
        </w:rPr>
      </w:pPr>
      <w:r w:rsidRPr="0063409C">
        <w:rPr>
          <w:rFonts w:cs="Arial"/>
          <w:sz w:val="20"/>
        </w:rPr>
        <w:t>Text:</w:t>
      </w:r>
      <w:r w:rsidRPr="0063409C">
        <w:rPr>
          <w:rFonts w:cs="Arial"/>
          <w:sz w:val="20"/>
        </w:rPr>
        <w:tab/>
      </w:r>
      <w:r w:rsidR="0063409C" w:rsidRPr="0063409C">
        <w:rPr>
          <w:rFonts w:cs="Arial"/>
          <w:sz w:val="20"/>
        </w:rPr>
        <w:t>1.</w:t>
      </w:r>
      <w:r w:rsidR="00771956">
        <w:rPr>
          <w:rFonts w:cs="Arial"/>
          <w:sz w:val="20"/>
        </w:rPr>
        <w:t>419</w:t>
      </w:r>
      <w:bookmarkStart w:id="0" w:name="_GoBack"/>
      <w:bookmarkEnd w:id="0"/>
      <w:r w:rsidRPr="0063409C">
        <w:rPr>
          <w:rFonts w:cs="Arial"/>
          <w:sz w:val="20"/>
        </w:rPr>
        <w:t xml:space="preserve"> Zeichen</w:t>
      </w:r>
    </w:p>
    <w:p w:rsidR="00D91134" w:rsidRPr="003274EE" w:rsidRDefault="00D91134" w:rsidP="00D91134">
      <w:pPr>
        <w:tabs>
          <w:tab w:val="right" w:pos="2410"/>
        </w:tabs>
        <w:rPr>
          <w:rFonts w:cs="Arial"/>
          <w:sz w:val="20"/>
        </w:rPr>
      </w:pPr>
      <w:r w:rsidRPr="0063409C">
        <w:rPr>
          <w:rFonts w:cs="Arial"/>
          <w:sz w:val="20"/>
        </w:rPr>
        <w:t>Gesamt:</w:t>
      </w:r>
      <w:r w:rsidRPr="0063409C">
        <w:rPr>
          <w:rFonts w:cs="Arial"/>
          <w:sz w:val="20"/>
        </w:rPr>
        <w:tab/>
      </w:r>
      <w:r w:rsidR="00EC7F30" w:rsidRPr="0063409C">
        <w:rPr>
          <w:rFonts w:cs="Arial"/>
          <w:sz w:val="20"/>
        </w:rPr>
        <w:t>1.</w:t>
      </w:r>
      <w:r w:rsidR="00771956">
        <w:rPr>
          <w:rFonts w:cs="Arial"/>
          <w:sz w:val="20"/>
        </w:rPr>
        <w:t>490</w:t>
      </w:r>
      <w:r w:rsidRPr="0063409C">
        <w:rPr>
          <w:rFonts w:cs="Arial"/>
          <w:sz w:val="20"/>
        </w:rPr>
        <w:t xml:space="preserve"> Zeichen</w:t>
      </w:r>
    </w:p>
    <w:p w:rsidR="00D91134" w:rsidRDefault="00D91134" w:rsidP="00D91134">
      <w:pPr>
        <w:rPr>
          <w:rFonts w:cs="Arial"/>
          <w:sz w:val="20"/>
        </w:rPr>
      </w:pPr>
    </w:p>
    <w:p w:rsidR="00771956" w:rsidRDefault="00771956" w:rsidP="00D91134">
      <w:pPr>
        <w:rPr>
          <w:rFonts w:cs="Arial"/>
          <w:sz w:val="20"/>
        </w:rPr>
      </w:pPr>
    </w:p>
    <w:p w:rsidR="00874552" w:rsidRPr="003274EE" w:rsidRDefault="00874552" w:rsidP="00874552">
      <w:pPr>
        <w:rPr>
          <w:rFonts w:cs="Arial"/>
          <w:sz w:val="20"/>
        </w:rPr>
      </w:pPr>
      <w:r w:rsidRPr="003274EE">
        <w:rPr>
          <w:rFonts w:cs="Arial"/>
          <w:sz w:val="20"/>
        </w:rPr>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sidRPr="003274EE">
        <w:rPr>
          <w:rFonts w:cs="Arial"/>
          <w:sz w:val="20"/>
        </w:rPr>
        <w:t>Heubergstraße 2</w:t>
      </w:r>
    </w:p>
    <w:p w:rsidR="00874552" w:rsidRPr="003274EE" w:rsidRDefault="00874552" w:rsidP="00874552">
      <w:pPr>
        <w:rPr>
          <w:rFonts w:cs="Arial"/>
          <w:sz w:val="20"/>
        </w:rPr>
      </w:pPr>
      <w:r w:rsidRPr="003274EE">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rsidR="00CA5326" w:rsidRDefault="00CA5326">
      <w:pPr>
        <w:rPr>
          <w:noProof/>
        </w:rPr>
      </w:pPr>
      <w:r>
        <w:rPr>
          <w:noProof/>
        </w:rPr>
        <w:br w:type="page"/>
      </w:r>
    </w:p>
    <w:p w:rsidR="00CA5326" w:rsidRPr="003274EE" w:rsidRDefault="00CA5326" w:rsidP="00CA5326">
      <w:pPr>
        <w:pStyle w:val="berschrift3"/>
      </w:pPr>
      <w:r w:rsidRPr="003274EE">
        <w:lastRenderedPageBreak/>
        <w:t>Weitere Informationen und Pressefotos</w:t>
      </w:r>
    </w:p>
    <w:p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rPr>
          <w:lang w:val="de-DE"/>
        </w:rPr>
      </w:pPr>
    </w:p>
    <w:p w:rsidR="00CA5326" w:rsidRDefault="00CA5326" w:rsidP="00CA5326">
      <w:pPr>
        <w:pStyle w:val="berschrift3"/>
        <w:rPr>
          <w:lang w:val="de-DE"/>
        </w:rPr>
      </w:pPr>
    </w:p>
    <w:p w:rsidR="00CA5326" w:rsidRDefault="00CA5326" w:rsidP="00CA5326">
      <w:pPr>
        <w:pStyle w:val="berschrift3"/>
      </w:pPr>
      <w:r w:rsidRPr="003274EE">
        <w:t>Foto</w:t>
      </w:r>
      <w:r w:rsidRPr="003274EE">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900"/>
        <w:gridCol w:w="4483"/>
      </w:tblGrid>
      <w:tr w:rsidR="00CA5326" w:rsidRPr="003274EE" w:rsidTr="002B249D">
        <w:tc>
          <w:tcPr>
            <w:tcW w:w="4594" w:type="dxa"/>
          </w:tcPr>
          <w:p w:rsidR="00BA6B79" w:rsidRDefault="00AD09BD" w:rsidP="002B249D">
            <w:pPr>
              <w:rPr>
                <w:sz w:val="20"/>
              </w:rPr>
            </w:pPr>
            <w:r>
              <w:rPr>
                <w:sz w:val="20"/>
              </w:rPr>
              <w:t xml:space="preserve">KIPP </w:t>
            </w:r>
            <w:r w:rsidR="002073C5">
              <w:rPr>
                <w:sz w:val="20"/>
              </w:rPr>
              <w:t>Edelstahlprodukte im</w:t>
            </w:r>
            <w:r w:rsidR="00AB0D79">
              <w:rPr>
                <w:sz w:val="20"/>
              </w:rPr>
              <w:t xml:space="preserve"> </w:t>
            </w:r>
            <w:r w:rsidR="009D0204">
              <w:rPr>
                <w:sz w:val="20"/>
              </w:rPr>
              <w:t>modernen</w:t>
            </w:r>
            <w:r w:rsidR="002073C5">
              <w:rPr>
                <w:sz w:val="20"/>
              </w:rPr>
              <w:t xml:space="preserve"> Matt-Look</w:t>
            </w:r>
            <w:r w:rsidR="00CA5326">
              <w:rPr>
                <w:sz w:val="20"/>
              </w:rPr>
              <w:t xml:space="preserve">. </w:t>
            </w:r>
          </w:p>
          <w:p w:rsidR="00CA5326" w:rsidRDefault="00CA5326" w:rsidP="002B249D">
            <w:pPr>
              <w:rPr>
                <w:sz w:val="20"/>
              </w:rPr>
            </w:pPr>
            <w:r>
              <w:rPr>
                <w:sz w:val="20"/>
              </w:rPr>
              <w:t xml:space="preserve">Foto: KIPP </w:t>
            </w:r>
          </w:p>
          <w:p w:rsidR="00CA5326" w:rsidRPr="00362FE9" w:rsidRDefault="003B74D5" w:rsidP="002B249D">
            <w:pPr>
              <w:rPr>
                <w:sz w:val="20"/>
              </w:rPr>
            </w:pPr>
            <w:r>
              <w:rPr>
                <w:noProof/>
                <w:sz w:val="20"/>
              </w:rPr>
              <w:drawing>
                <wp:inline distT="0" distB="0" distL="0" distR="0">
                  <wp:extent cx="2974686" cy="21329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Edelstahlprodukte-gestrahlt-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388" cy="2139922"/>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Bilddate</w:t>
            </w:r>
            <w:r w:rsidR="00DB120E">
              <w:rPr>
                <w:sz w:val="20"/>
              </w:rPr>
              <w:t xml:space="preserve">i: </w:t>
            </w:r>
          </w:p>
          <w:p w:rsidR="00CA5326" w:rsidRPr="00ED01E4" w:rsidRDefault="003B74D5" w:rsidP="00554439">
            <w:pPr>
              <w:rPr>
                <w:sz w:val="20"/>
              </w:rPr>
            </w:pPr>
            <w:r>
              <w:rPr>
                <w:sz w:val="20"/>
              </w:rPr>
              <w:t>KIPP-Edelstahlprodukte-gestrahlt</w:t>
            </w:r>
            <w:r w:rsidR="00554439">
              <w:rPr>
                <w:sz w:val="20"/>
              </w:rPr>
              <w:t>.jpg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rsidR="00CA5326" w:rsidRPr="00145D00" w:rsidRDefault="00CA5326" w:rsidP="00CA5326">
      <w:pPr>
        <w:ind w:left="-79"/>
        <w:rPr>
          <w:sz w:val="16"/>
          <w:szCs w:val="16"/>
        </w:rPr>
      </w:pPr>
      <w:r w:rsidRPr="00524B91">
        <w:rPr>
          <w:sz w:val="16"/>
          <w:szCs w:val="16"/>
        </w:rPr>
        <w:t xml:space="preserve">Mit der Bitte um Quellenangabe und Beleg. </w:t>
      </w:r>
    </w:p>
    <w:p w:rsidR="00CA5326" w:rsidRPr="003274EE" w:rsidRDefault="00CA5326" w:rsidP="00CA5326"/>
    <w:p w:rsidR="00F94190" w:rsidRDefault="00F94190" w:rsidP="00F94190">
      <w:pPr>
        <w:tabs>
          <w:tab w:val="left" w:pos="4020"/>
        </w:tabs>
        <w:rPr>
          <w:noProof/>
        </w:rPr>
      </w:pPr>
    </w:p>
    <w:p w:rsidR="00F94190" w:rsidRDefault="00F94190" w:rsidP="00F94190">
      <w:pPr>
        <w:tabs>
          <w:tab w:val="left" w:pos="4020"/>
        </w:tabs>
        <w:rPr>
          <w:noProof/>
        </w:rPr>
      </w:pPr>
    </w:p>
    <w:p w:rsidR="00F94190" w:rsidRDefault="00F94190" w:rsidP="00F94190">
      <w:pPr>
        <w:tabs>
          <w:tab w:val="left" w:pos="4020"/>
        </w:tabs>
        <w:rPr>
          <w:noProof/>
        </w:rPr>
      </w:pPr>
    </w:p>
    <w:p w:rsidR="00F94190" w:rsidRDefault="00F94190" w:rsidP="00D91134">
      <w:pPr>
        <w:rPr>
          <w:noProof/>
        </w:rPr>
      </w:pPr>
    </w:p>
    <w:p w:rsidR="00F94190" w:rsidRDefault="00F94190" w:rsidP="00D91134">
      <w:pPr>
        <w:rPr>
          <w:noProof/>
        </w:rPr>
      </w:pPr>
    </w:p>
    <w:p w:rsidR="00D91134" w:rsidRPr="000E5B84" w:rsidRDefault="00D91134" w:rsidP="00D91134">
      <w:pPr>
        <w:pStyle w:val="Pressetext"/>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3274EE" w:rsidTr="009178CC">
        <w:tc>
          <w:tcPr>
            <w:tcW w:w="4594" w:type="dxa"/>
          </w:tcPr>
          <w:p w:rsidR="00D91134" w:rsidRPr="00634D5D" w:rsidRDefault="00D91134" w:rsidP="00CA5326">
            <w:pPr>
              <w:rPr>
                <w:sz w:val="20"/>
              </w:rPr>
            </w:pPr>
          </w:p>
        </w:tc>
        <w:tc>
          <w:tcPr>
            <w:tcW w:w="4863" w:type="dxa"/>
          </w:tcPr>
          <w:p w:rsidR="00D91134" w:rsidRPr="0050045F" w:rsidRDefault="00D91134" w:rsidP="009178CC">
            <w:pPr>
              <w:rPr>
                <w:rFonts w:cs="Arial"/>
                <w:sz w:val="20"/>
                <w:szCs w:val="20"/>
              </w:rPr>
            </w:pPr>
          </w:p>
        </w:tc>
      </w:tr>
      <w:tr w:rsidR="00D91134" w:rsidRPr="003274EE" w:rsidTr="009178CC">
        <w:tc>
          <w:tcPr>
            <w:tcW w:w="4594" w:type="dxa"/>
          </w:tcPr>
          <w:p w:rsidR="00D91134" w:rsidRPr="00634D5D" w:rsidRDefault="00D91134" w:rsidP="009178CC">
            <w:pPr>
              <w:rPr>
                <w:sz w:val="20"/>
              </w:rPr>
            </w:pPr>
          </w:p>
        </w:tc>
        <w:tc>
          <w:tcPr>
            <w:tcW w:w="4863" w:type="dxa"/>
          </w:tcPr>
          <w:p w:rsidR="00D91134" w:rsidRPr="0050045F" w:rsidRDefault="00D91134" w:rsidP="009178CC">
            <w:pPr>
              <w:rPr>
                <w:rFonts w:cs="Arial"/>
                <w:sz w:val="20"/>
                <w:szCs w:val="20"/>
              </w:rPr>
            </w:pPr>
          </w:p>
        </w:tc>
      </w:tr>
    </w:tbl>
    <w:p w:rsidR="00783817" w:rsidRPr="003274EE" w:rsidRDefault="00783817"/>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71956">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D7C6C"/>
    <w:rsid w:val="002E6D66"/>
    <w:rsid w:val="002F063A"/>
    <w:rsid w:val="00315E40"/>
    <w:rsid w:val="0032074C"/>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F447B"/>
    <w:rsid w:val="004F6FFA"/>
    <w:rsid w:val="005100EC"/>
    <w:rsid w:val="00535106"/>
    <w:rsid w:val="00536A35"/>
    <w:rsid w:val="00554439"/>
    <w:rsid w:val="0055746C"/>
    <w:rsid w:val="005814C8"/>
    <w:rsid w:val="005904DC"/>
    <w:rsid w:val="00595330"/>
    <w:rsid w:val="005A5A84"/>
    <w:rsid w:val="005D170A"/>
    <w:rsid w:val="005D5624"/>
    <w:rsid w:val="005D6098"/>
    <w:rsid w:val="00601B0A"/>
    <w:rsid w:val="00612A8E"/>
    <w:rsid w:val="00616E71"/>
    <w:rsid w:val="0062373C"/>
    <w:rsid w:val="0063409C"/>
    <w:rsid w:val="00645FBD"/>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1956"/>
    <w:rsid w:val="0077742E"/>
    <w:rsid w:val="007819BF"/>
    <w:rsid w:val="007827D1"/>
    <w:rsid w:val="007833B0"/>
    <w:rsid w:val="00783817"/>
    <w:rsid w:val="00786BAF"/>
    <w:rsid w:val="007B482A"/>
    <w:rsid w:val="007C52A3"/>
    <w:rsid w:val="007C531D"/>
    <w:rsid w:val="007E0E6C"/>
    <w:rsid w:val="007E69EF"/>
    <w:rsid w:val="00814DDB"/>
    <w:rsid w:val="00831AFC"/>
    <w:rsid w:val="0083468D"/>
    <w:rsid w:val="00853954"/>
    <w:rsid w:val="00856392"/>
    <w:rsid w:val="00866A85"/>
    <w:rsid w:val="00873431"/>
    <w:rsid w:val="00874552"/>
    <w:rsid w:val="00874D03"/>
    <w:rsid w:val="0088039F"/>
    <w:rsid w:val="00883042"/>
    <w:rsid w:val="00884707"/>
    <w:rsid w:val="00886B08"/>
    <w:rsid w:val="0089051A"/>
    <w:rsid w:val="00890EF8"/>
    <w:rsid w:val="008B0E60"/>
    <w:rsid w:val="008B1CC1"/>
    <w:rsid w:val="00900E9C"/>
    <w:rsid w:val="00922B88"/>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E0177"/>
    <w:rsid w:val="00AF76CF"/>
    <w:rsid w:val="00B234EB"/>
    <w:rsid w:val="00B54720"/>
    <w:rsid w:val="00B57513"/>
    <w:rsid w:val="00B6627A"/>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A5326"/>
    <w:rsid w:val="00CC06B6"/>
    <w:rsid w:val="00CC5D7A"/>
    <w:rsid w:val="00D12D81"/>
    <w:rsid w:val="00D158CF"/>
    <w:rsid w:val="00D610DD"/>
    <w:rsid w:val="00D74F3D"/>
    <w:rsid w:val="00D8580E"/>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101F6"/>
    <w:rsid w:val="00F117B2"/>
    <w:rsid w:val="00F20DD1"/>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7</cp:revision>
  <cp:lastPrinted>2017-07-20T13:09:00Z</cp:lastPrinted>
  <dcterms:created xsi:type="dcterms:W3CDTF">2017-07-20T12:32:00Z</dcterms:created>
  <dcterms:modified xsi:type="dcterms:W3CDTF">2017-08-08T11:49:00Z</dcterms:modified>
</cp:coreProperties>
</file>